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DC2" w:rsidRPr="00000F23" w:rsidRDefault="00692F24" w:rsidP="00145863">
      <w:pPr>
        <w:spacing w:beforeLines="50"/>
        <w:jc w:val="center"/>
        <w:rPr>
          <w:rFonts w:asciiTheme="minorEastAsia" w:hAnsiTheme="minorEastAsia"/>
          <w:b/>
          <w:sz w:val="44"/>
          <w:szCs w:val="44"/>
        </w:rPr>
      </w:pPr>
      <w:r w:rsidRPr="00000F23">
        <w:rPr>
          <w:rFonts w:asciiTheme="minorEastAsia" w:hAnsiTheme="minorEastAsia" w:hint="eastAsia"/>
          <w:b/>
          <w:sz w:val="44"/>
          <w:szCs w:val="44"/>
        </w:rPr>
        <w:t>2019</w:t>
      </w:r>
      <w:r w:rsidR="00000F23" w:rsidRPr="00000F23">
        <w:rPr>
          <w:rFonts w:asciiTheme="minorEastAsia" w:hAnsiTheme="minorEastAsia" w:hint="eastAsia"/>
          <w:b/>
          <w:sz w:val="44"/>
          <w:szCs w:val="44"/>
        </w:rPr>
        <w:t>学生赴马来西亚游学项目</w:t>
      </w:r>
    </w:p>
    <w:p w:rsidR="00B13E00" w:rsidRPr="00000F23" w:rsidRDefault="00B13E00" w:rsidP="00000F23">
      <w:pPr>
        <w:rPr>
          <w:rFonts w:ascii="Calibri" w:eastAsia="宋体" w:hAnsi="Calibri" w:cs="Times New Roman"/>
          <w:b/>
          <w:kern w:val="0"/>
          <w:sz w:val="28"/>
          <w:szCs w:val="28"/>
        </w:rPr>
      </w:pPr>
      <w:r w:rsidRPr="00000F23">
        <w:rPr>
          <w:rFonts w:ascii="Calibri" w:eastAsia="宋体" w:hAnsi="Calibri" w:cs="Times New Roman" w:hint="eastAsia"/>
          <w:b/>
          <w:kern w:val="0"/>
          <w:sz w:val="28"/>
          <w:szCs w:val="28"/>
        </w:rPr>
        <w:t>一、大学简介</w:t>
      </w:r>
    </w:p>
    <w:p w:rsidR="00B13E00" w:rsidRPr="00000F23" w:rsidRDefault="00FB039B" w:rsidP="00145863">
      <w:pPr>
        <w:widowControl/>
        <w:spacing w:after="200" w:line="276" w:lineRule="auto"/>
        <w:ind w:firstLineChars="200" w:firstLine="420"/>
        <w:jc w:val="left"/>
        <w:rPr>
          <w:rFonts w:ascii="宋体" w:eastAsia="宋体" w:hAnsi="宋体" w:cs="Times New Roman"/>
          <w:kern w:val="0"/>
          <w:sz w:val="28"/>
          <w:szCs w:val="28"/>
        </w:rPr>
      </w:pPr>
      <w:hyperlink r:id="rId9" w:tgtFrame="https://baike.sogou.com/_blank" w:history="1">
        <w:r w:rsidR="00B13E00" w:rsidRPr="00000F23">
          <w:rPr>
            <w:b/>
            <w:bCs/>
            <w:sz w:val="28"/>
            <w:szCs w:val="28"/>
          </w:rPr>
          <w:t>思特雅大学</w:t>
        </w:r>
      </w:hyperlink>
      <w:r w:rsidR="00B13E00" w:rsidRPr="00000F23">
        <w:rPr>
          <w:rFonts w:ascii="Arial" w:eastAsia="宋体" w:hAnsi="Arial" w:cs="Arial"/>
          <w:color w:val="333333"/>
          <w:sz w:val="28"/>
          <w:szCs w:val="28"/>
          <w:shd w:val="clear" w:color="auto" w:fill="FFFFFF"/>
        </w:rPr>
        <w:t>（简称</w:t>
      </w:r>
      <w:r w:rsidR="00B13E00" w:rsidRPr="00000F23">
        <w:rPr>
          <w:rFonts w:ascii="Arial" w:eastAsia="宋体" w:hAnsi="Arial" w:cs="Arial"/>
          <w:color w:val="333333"/>
          <w:sz w:val="28"/>
          <w:szCs w:val="28"/>
          <w:shd w:val="clear" w:color="auto" w:fill="FFFFFF"/>
        </w:rPr>
        <w:t xml:space="preserve">UCSI </w:t>
      </w:r>
      <w:r w:rsidR="00B13E00" w:rsidRPr="00000F23">
        <w:rPr>
          <w:rFonts w:ascii="Arial" w:eastAsia="宋体" w:hAnsi="Arial" w:cs="Arial"/>
          <w:color w:val="333333"/>
          <w:sz w:val="28"/>
          <w:szCs w:val="28"/>
          <w:shd w:val="clear" w:color="auto" w:fill="FFFFFF"/>
        </w:rPr>
        <w:t>），</w:t>
      </w:r>
      <w:r w:rsidR="00B13E00" w:rsidRPr="00000F23">
        <w:rPr>
          <w:rFonts w:ascii="宋体" w:eastAsia="宋体" w:hAnsi="宋体" w:cs="Times New Roman"/>
          <w:kern w:val="0"/>
          <w:sz w:val="28"/>
          <w:szCs w:val="28"/>
        </w:rPr>
        <w:t>成立于1986年，是马来西亚教育部批准成立的、</w:t>
      </w:r>
      <w:r w:rsidRPr="00000F23">
        <w:rPr>
          <w:rFonts w:ascii="宋体" w:eastAsia="宋体" w:hAnsi="宋体" w:cs="Times New Roman"/>
          <w:kern w:val="0"/>
          <w:sz w:val="28"/>
          <w:szCs w:val="28"/>
        </w:rPr>
        <w:fldChar w:fldCharType="begin"/>
      </w:r>
      <w:r w:rsidR="00B13E00" w:rsidRPr="00000F23">
        <w:rPr>
          <w:rFonts w:ascii="宋体" w:eastAsia="宋体" w:hAnsi="宋体" w:cs="Times New Roman"/>
          <w:kern w:val="0"/>
          <w:sz w:val="28"/>
          <w:szCs w:val="28"/>
        </w:rPr>
        <w:instrText xml:space="preserve"> HYPERLINK "https://baike.sogou.com/lemma/ShowInnerLink.htm?lemmaId=257144&amp;ss_c=ssc.citiao.link" \t "https://baike.sogou.com/_blank" </w:instrText>
      </w:r>
      <w:r w:rsidRPr="00000F23">
        <w:rPr>
          <w:rFonts w:ascii="宋体" w:eastAsia="宋体" w:hAnsi="宋体" w:cs="Times New Roman"/>
          <w:kern w:val="0"/>
          <w:sz w:val="28"/>
          <w:szCs w:val="28"/>
        </w:rPr>
        <w:fldChar w:fldCharType="separate"/>
      </w:r>
      <w:r w:rsidR="00B13E00" w:rsidRPr="00000F23">
        <w:rPr>
          <w:rFonts w:ascii="宋体" w:eastAsia="宋体" w:hAnsi="宋体" w:cs="Times New Roman"/>
          <w:kern w:val="0"/>
          <w:sz w:val="28"/>
          <w:szCs w:val="28"/>
        </w:rPr>
        <w:t>中国教育部</w:t>
      </w:r>
      <w:r w:rsidRPr="00000F23">
        <w:rPr>
          <w:rFonts w:ascii="宋体" w:eastAsia="宋体" w:hAnsi="宋体" w:cs="Times New Roman"/>
          <w:kern w:val="0"/>
          <w:sz w:val="28"/>
          <w:szCs w:val="28"/>
        </w:rPr>
        <w:fldChar w:fldCharType="end"/>
      </w:r>
      <w:r w:rsidR="00B13E00" w:rsidRPr="00000F23">
        <w:rPr>
          <w:rFonts w:ascii="宋体" w:eastAsia="宋体" w:hAnsi="宋体" w:cs="Times New Roman"/>
          <w:kern w:val="0"/>
          <w:sz w:val="28"/>
          <w:szCs w:val="28"/>
        </w:rPr>
        <w:t>及全球承认的可以授予大学本科及硕士文凭的海外</w:t>
      </w:r>
      <w:hyperlink r:id="rId10" w:tgtFrame="https://baike.sogou.com/_blank" w:history="1">
        <w:r w:rsidR="00B13E00" w:rsidRPr="00000F23">
          <w:rPr>
            <w:rFonts w:ascii="宋体" w:eastAsia="宋体" w:hAnsi="宋体" w:cs="Times New Roman"/>
            <w:kern w:val="0"/>
            <w:sz w:val="28"/>
            <w:szCs w:val="28"/>
          </w:rPr>
          <w:t>普通高等院校</w:t>
        </w:r>
      </w:hyperlink>
      <w:r w:rsidR="00B13E00" w:rsidRPr="00000F23">
        <w:rPr>
          <w:rFonts w:ascii="宋体" w:eastAsia="宋体" w:hAnsi="宋体" w:cs="Times New Roman"/>
          <w:kern w:val="0"/>
          <w:sz w:val="28"/>
          <w:szCs w:val="28"/>
        </w:rPr>
        <w:t>。</w:t>
      </w:r>
      <w:r w:rsidR="00B13E00" w:rsidRPr="00000F23">
        <w:rPr>
          <w:rFonts w:ascii="宋体" w:eastAsia="宋体" w:hAnsi="宋体" w:cs="Times New Roman" w:hint="eastAsia"/>
          <w:kern w:val="0"/>
          <w:sz w:val="28"/>
          <w:szCs w:val="28"/>
        </w:rPr>
        <w:t>UCSI</w:t>
      </w:r>
      <w:r w:rsidR="00B13E00" w:rsidRPr="00000F23">
        <w:rPr>
          <w:rFonts w:ascii="宋体" w:eastAsia="宋体" w:hAnsi="宋体" w:cs="Times New Roman"/>
          <w:kern w:val="0"/>
          <w:sz w:val="28"/>
          <w:szCs w:val="28"/>
        </w:rPr>
        <w:t>集团是一个大型的国际集团。集团涉及教育业、企业</w:t>
      </w:r>
      <w:r w:rsidRPr="00000F23">
        <w:rPr>
          <w:rFonts w:ascii="宋体" w:eastAsia="宋体" w:hAnsi="宋体" w:cs="Times New Roman"/>
          <w:kern w:val="0"/>
          <w:sz w:val="28"/>
          <w:szCs w:val="28"/>
        </w:rPr>
        <w:fldChar w:fldCharType="begin"/>
      </w:r>
      <w:r w:rsidR="00B13E00" w:rsidRPr="00000F23">
        <w:rPr>
          <w:rFonts w:ascii="宋体" w:eastAsia="宋体" w:hAnsi="宋体" w:cs="Times New Roman"/>
          <w:kern w:val="0"/>
          <w:sz w:val="28"/>
          <w:szCs w:val="28"/>
        </w:rPr>
        <w:instrText xml:space="preserve"> HYPERLINK "https://baike.sogou.com/lemma/ShowInnerLink.htm?lemmaId=268175&amp;ss_c=ssc.citiao.link" \t "https://baike.sogou.com/_blank" </w:instrText>
      </w:r>
      <w:r w:rsidRPr="00000F23">
        <w:rPr>
          <w:rFonts w:ascii="宋体" w:eastAsia="宋体" w:hAnsi="宋体" w:cs="Times New Roman"/>
          <w:kern w:val="0"/>
          <w:sz w:val="28"/>
          <w:szCs w:val="28"/>
        </w:rPr>
        <w:fldChar w:fldCharType="separate"/>
      </w:r>
      <w:r w:rsidR="00B13E00" w:rsidRPr="00000F23">
        <w:rPr>
          <w:rFonts w:ascii="宋体" w:eastAsia="宋体" w:hAnsi="宋体" w:cs="Times New Roman"/>
          <w:kern w:val="0"/>
          <w:sz w:val="28"/>
          <w:szCs w:val="28"/>
        </w:rPr>
        <w:t>咨询业</w:t>
      </w:r>
      <w:r w:rsidRPr="00000F23">
        <w:rPr>
          <w:rFonts w:ascii="宋体" w:eastAsia="宋体" w:hAnsi="宋体" w:cs="Times New Roman"/>
          <w:kern w:val="0"/>
          <w:sz w:val="28"/>
          <w:szCs w:val="28"/>
        </w:rPr>
        <w:fldChar w:fldCharType="end"/>
      </w:r>
      <w:r w:rsidR="00B13E00" w:rsidRPr="00000F23">
        <w:rPr>
          <w:rFonts w:ascii="宋体" w:eastAsia="宋体" w:hAnsi="宋体" w:cs="Times New Roman"/>
          <w:kern w:val="0"/>
          <w:sz w:val="28"/>
          <w:szCs w:val="28"/>
        </w:rPr>
        <w:t>、通讯业、灯饰制造业、餐饮业、</w:t>
      </w:r>
      <w:hyperlink r:id="rId11" w:tgtFrame="https://baike.sogou.com/_blank" w:history="1">
        <w:r w:rsidR="00B13E00" w:rsidRPr="00000F23">
          <w:rPr>
            <w:rFonts w:ascii="宋体" w:eastAsia="宋体" w:hAnsi="宋体" w:cs="Times New Roman"/>
            <w:kern w:val="0"/>
            <w:sz w:val="28"/>
            <w:szCs w:val="28"/>
          </w:rPr>
          <w:t>地产业</w:t>
        </w:r>
      </w:hyperlink>
      <w:r w:rsidR="00B13E00" w:rsidRPr="00000F23">
        <w:rPr>
          <w:rFonts w:ascii="宋体" w:eastAsia="宋体" w:hAnsi="宋体" w:cs="Times New Roman"/>
          <w:kern w:val="0"/>
          <w:sz w:val="28"/>
          <w:szCs w:val="28"/>
        </w:rPr>
        <w:t>、软件开发业、汽车配件制造等，其中又以教育及企业咨询业为主。在全世界共有五所大学及学院，分布于新西兰的奥克兰，孟加拉国，马来西亚首都吉隆坡，</w:t>
      </w:r>
      <w:hyperlink r:id="rId12" w:tgtFrame="https://baike.sogou.com/_blank" w:history="1">
        <w:r w:rsidR="00B13E00" w:rsidRPr="00000F23">
          <w:rPr>
            <w:rFonts w:ascii="宋体" w:eastAsia="宋体" w:hAnsi="宋体" w:cs="Times New Roman"/>
            <w:kern w:val="0"/>
            <w:sz w:val="28"/>
            <w:szCs w:val="28"/>
          </w:rPr>
          <w:t>丁加奴</w:t>
        </w:r>
      </w:hyperlink>
      <w:r w:rsidR="00B13E00" w:rsidRPr="00000F23">
        <w:rPr>
          <w:rFonts w:ascii="宋体" w:eastAsia="宋体" w:hAnsi="宋体" w:cs="Times New Roman"/>
          <w:kern w:val="0"/>
          <w:sz w:val="28"/>
          <w:szCs w:val="28"/>
        </w:rPr>
        <w:t>市及东马砂劳越省会古晋市，总校位于马来西亚首都吉隆坡。集团还拥有属于自己的幼儿园、小学、初中、高中、</w:t>
      </w:r>
      <w:hyperlink r:id="rId13" w:tgtFrame="https://baike.sogou.com/_blank" w:history="1">
        <w:r w:rsidR="00B13E00" w:rsidRPr="00000F23">
          <w:rPr>
            <w:rFonts w:ascii="宋体" w:eastAsia="宋体" w:hAnsi="宋体" w:cs="Times New Roman"/>
            <w:kern w:val="0"/>
            <w:sz w:val="28"/>
            <w:szCs w:val="28"/>
          </w:rPr>
          <w:t>大学预科班</w:t>
        </w:r>
      </w:hyperlink>
      <w:r w:rsidR="00B13E00" w:rsidRPr="00000F23">
        <w:rPr>
          <w:rFonts w:ascii="宋体" w:eastAsia="宋体" w:hAnsi="宋体" w:cs="Times New Roman"/>
          <w:kern w:val="0"/>
          <w:sz w:val="28"/>
          <w:szCs w:val="28"/>
        </w:rPr>
        <w:t>及多处的教育培训中心。</w:t>
      </w:r>
    </w:p>
    <w:p w:rsidR="00B13E00" w:rsidRPr="00000F23" w:rsidRDefault="00B13E00" w:rsidP="00145863">
      <w:pPr>
        <w:widowControl/>
        <w:spacing w:after="200" w:line="276" w:lineRule="auto"/>
        <w:ind w:firstLineChars="150" w:firstLine="420"/>
        <w:jc w:val="left"/>
        <w:rPr>
          <w:rFonts w:ascii="Arial" w:hAnsi="Arial" w:cs="Arial"/>
          <w:color w:val="333333"/>
          <w:sz w:val="28"/>
          <w:szCs w:val="28"/>
        </w:rPr>
      </w:pPr>
      <w:r w:rsidRPr="00000F23">
        <w:rPr>
          <w:rFonts w:ascii="宋体" w:eastAsia="宋体" w:hAnsi="宋体" w:cs="Times New Roman"/>
          <w:kern w:val="0"/>
          <w:sz w:val="28"/>
          <w:szCs w:val="28"/>
        </w:rPr>
        <w:t>思特雅大学是马来西亚一流的</w:t>
      </w:r>
      <w:r w:rsidR="00FB039B">
        <w:fldChar w:fldCharType="begin"/>
      </w:r>
      <w:r w:rsidR="00FB039B">
        <w:instrText>HYPERLINK "https://baike.sogou.com/lemma/ShowInnerLink.htm?lemmaId=99710503&amp;ss_c=ssc.citiao.link" \t "https://baike.sogou.com/_blank"</w:instrText>
      </w:r>
      <w:r w:rsidR="00FB039B">
        <w:fldChar w:fldCharType="separate"/>
      </w:r>
      <w:r w:rsidRPr="00000F23">
        <w:rPr>
          <w:rFonts w:ascii="宋体" w:eastAsia="宋体" w:hAnsi="宋体" w:cs="Times New Roman"/>
          <w:kern w:val="0"/>
          <w:sz w:val="28"/>
          <w:szCs w:val="28"/>
        </w:rPr>
        <w:t>国际大学</w:t>
      </w:r>
      <w:r w:rsidR="00FB039B">
        <w:fldChar w:fldCharType="end"/>
      </w:r>
      <w:r w:rsidRPr="00000F23">
        <w:rPr>
          <w:rFonts w:ascii="宋体" w:eastAsia="宋体" w:hAnsi="宋体" w:cs="Times New Roman"/>
          <w:kern w:val="0"/>
          <w:sz w:val="28"/>
          <w:szCs w:val="28"/>
        </w:rPr>
        <w:t>，有着“</w:t>
      </w:r>
      <w:hyperlink r:id="rId14" w:tgtFrame="https://baike.sogou.com/_blank" w:history="1">
        <w:r w:rsidRPr="00000F23">
          <w:rPr>
            <w:rFonts w:ascii="宋体" w:eastAsia="宋体" w:hAnsi="宋体" w:cs="Times New Roman"/>
            <w:kern w:val="0"/>
            <w:sz w:val="28"/>
            <w:szCs w:val="28"/>
          </w:rPr>
          <w:t>花园大学</w:t>
        </w:r>
      </w:hyperlink>
      <w:r w:rsidRPr="00000F23">
        <w:rPr>
          <w:rFonts w:ascii="宋体" w:eastAsia="宋体" w:hAnsi="宋体" w:cs="Times New Roman"/>
          <w:kern w:val="0"/>
          <w:sz w:val="28"/>
          <w:szCs w:val="28"/>
        </w:rPr>
        <w:t>”的美称。她坐落于马来西亚首都吉隆坡市的心脏地区</w:t>
      </w:r>
      <w:r w:rsidR="00FB039B" w:rsidRPr="00000F23">
        <w:rPr>
          <w:rFonts w:ascii="宋体" w:eastAsia="宋体" w:hAnsi="宋体" w:cs="Times New Roman"/>
          <w:kern w:val="0"/>
          <w:sz w:val="28"/>
          <w:szCs w:val="28"/>
        </w:rPr>
        <w:fldChar w:fldCharType="begin"/>
      </w:r>
      <w:r w:rsidRPr="00000F23">
        <w:rPr>
          <w:rFonts w:ascii="宋体" w:eastAsia="宋体" w:hAnsi="宋体" w:cs="Times New Roman"/>
          <w:kern w:val="0"/>
          <w:sz w:val="28"/>
          <w:szCs w:val="28"/>
        </w:rPr>
        <w:instrText xml:space="preserve"> HYPERLINK "https://baike.sogou.com/lemma/ShowInnerLink.htm?lemmaId=70318314&amp;ss_c=ssc.citiao.link" \t "https://baike.sogou.com/_blank" </w:instrText>
      </w:r>
      <w:r w:rsidR="00FB039B" w:rsidRPr="00000F23">
        <w:rPr>
          <w:rFonts w:ascii="宋体" w:eastAsia="宋体" w:hAnsi="宋体" w:cs="Times New Roman"/>
          <w:kern w:val="0"/>
          <w:sz w:val="28"/>
          <w:szCs w:val="28"/>
        </w:rPr>
        <w:fldChar w:fldCharType="separate"/>
      </w:r>
      <w:r w:rsidRPr="00000F23">
        <w:rPr>
          <w:rFonts w:ascii="宋体" w:eastAsia="宋体" w:hAnsi="宋体" w:cs="Times New Roman"/>
          <w:kern w:val="0"/>
          <w:sz w:val="28"/>
          <w:szCs w:val="28"/>
        </w:rPr>
        <w:t>康乐花园</w:t>
      </w:r>
      <w:r w:rsidR="00FB039B" w:rsidRPr="00000F23">
        <w:rPr>
          <w:rFonts w:ascii="宋体" w:eastAsia="宋体" w:hAnsi="宋体" w:cs="Times New Roman"/>
          <w:kern w:val="0"/>
          <w:sz w:val="28"/>
          <w:szCs w:val="28"/>
        </w:rPr>
        <w:fldChar w:fldCharType="end"/>
      </w:r>
      <w:r w:rsidRPr="00000F23">
        <w:rPr>
          <w:rFonts w:ascii="宋体" w:eastAsia="宋体" w:hAnsi="宋体" w:cs="Times New Roman"/>
          <w:kern w:val="0"/>
          <w:sz w:val="28"/>
          <w:szCs w:val="28"/>
        </w:rPr>
        <w:t>，处交通便利、商业繁华的黄金地段，有校车往返于南北校区、学生宿舍及教学楼之间。校园内有大型综合楼、咨询楼、 学术楼和学生公寓，以及篮球场、羽毛球场、排球场、体育场、大型会议室、音乐教学设备、语音室、图书馆、学生活动中心、工程实验室、药剂实验室、电脑实验室及应用</w:t>
      </w:r>
      <w:r w:rsidR="00FB039B" w:rsidRPr="00000F23">
        <w:rPr>
          <w:sz w:val="28"/>
          <w:szCs w:val="28"/>
        </w:rPr>
        <w:fldChar w:fldCharType="begin"/>
      </w:r>
      <w:r w:rsidRPr="00000F23">
        <w:rPr>
          <w:sz w:val="28"/>
          <w:szCs w:val="28"/>
        </w:rPr>
        <w:instrText>HYPERLINK "https://baike.sogou.com/lemma/ShowInnerLink.htm?lemmaId=61580204&amp;ss_c=ssc.citiao.link" \t "https://baike.sogou.com/_blank"</w:instrText>
      </w:r>
      <w:r w:rsidR="00FB039B" w:rsidRPr="00000F23">
        <w:rPr>
          <w:sz w:val="28"/>
          <w:szCs w:val="28"/>
        </w:rPr>
        <w:fldChar w:fldCharType="separate"/>
      </w:r>
      <w:r w:rsidRPr="00000F23">
        <w:rPr>
          <w:rFonts w:ascii="宋体" w:eastAsia="宋体" w:hAnsi="宋体" w:cs="Times New Roman"/>
          <w:kern w:val="0"/>
          <w:sz w:val="28"/>
          <w:szCs w:val="28"/>
        </w:rPr>
        <w:t>科学实验室</w:t>
      </w:r>
      <w:r w:rsidR="00FB039B" w:rsidRPr="00000F23">
        <w:rPr>
          <w:sz w:val="28"/>
          <w:szCs w:val="28"/>
        </w:rPr>
        <w:fldChar w:fldCharType="end"/>
      </w:r>
      <w:r w:rsidRPr="00000F23">
        <w:rPr>
          <w:rFonts w:ascii="宋体" w:eastAsia="宋体" w:hAnsi="宋体" w:cs="Times New Roman"/>
          <w:kern w:val="0"/>
          <w:sz w:val="28"/>
          <w:szCs w:val="28"/>
        </w:rPr>
        <w:t>等大型文化体育和教学实验场所，校园外并配备有</w:t>
      </w:r>
      <w:hyperlink r:id="rId15" w:tgtFrame="https://baike.sogou.com/_blank" w:history="1">
        <w:r w:rsidRPr="00000F23">
          <w:rPr>
            <w:rFonts w:ascii="宋体" w:eastAsia="宋体" w:hAnsi="宋体" w:cs="Times New Roman"/>
            <w:kern w:val="0"/>
            <w:sz w:val="28"/>
            <w:szCs w:val="28"/>
          </w:rPr>
          <w:t>多达一</w:t>
        </w:r>
      </w:hyperlink>
      <w:r w:rsidRPr="00000F23">
        <w:rPr>
          <w:rFonts w:ascii="宋体" w:eastAsia="宋体" w:hAnsi="宋体" w:cs="Times New Roman"/>
          <w:kern w:val="0"/>
          <w:sz w:val="28"/>
          <w:szCs w:val="28"/>
        </w:rPr>
        <w:t>千张病床的UCSI大学附属医院。目前总校在校学生近万人，</w:t>
      </w:r>
      <w:r w:rsidRPr="00000F23">
        <w:rPr>
          <w:rFonts w:ascii="Arial" w:hAnsi="Arial" w:cs="Arial"/>
          <w:color w:val="333333"/>
          <w:sz w:val="28"/>
          <w:szCs w:val="28"/>
          <w:shd w:val="clear" w:color="auto" w:fill="FFFFFF"/>
        </w:rPr>
        <w:t>其中中国学生近五百人，其它学生来自全球</w:t>
      </w:r>
      <w:r w:rsidRPr="00000F23">
        <w:rPr>
          <w:rFonts w:ascii="Arial" w:hAnsi="Arial" w:cs="Arial"/>
          <w:color w:val="333333"/>
          <w:sz w:val="28"/>
          <w:szCs w:val="28"/>
          <w:shd w:val="clear" w:color="auto" w:fill="FFFFFF"/>
        </w:rPr>
        <w:t>60</w:t>
      </w:r>
      <w:r w:rsidRPr="00000F23">
        <w:rPr>
          <w:rFonts w:ascii="Arial" w:hAnsi="Arial" w:cs="Arial"/>
          <w:color w:val="333333"/>
          <w:sz w:val="28"/>
          <w:szCs w:val="28"/>
          <w:shd w:val="clear" w:color="auto" w:fill="FFFFFF"/>
        </w:rPr>
        <w:t>多个国家和地区，是一所名副其实的国际大学。</w:t>
      </w:r>
    </w:p>
    <w:p w:rsidR="00B11DC2" w:rsidRPr="00000F23" w:rsidRDefault="00B13E00" w:rsidP="00145863">
      <w:pPr>
        <w:widowControl/>
        <w:spacing w:after="200" w:line="276" w:lineRule="auto"/>
        <w:ind w:firstLineChars="200" w:firstLine="560"/>
        <w:jc w:val="left"/>
        <w:rPr>
          <w:rFonts w:ascii="宋体" w:eastAsia="宋体" w:hAnsi="宋体" w:cs="Times New Roman"/>
          <w:kern w:val="0"/>
          <w:sz w:val="28"/>
          <w:szCs w:val="28"/>
        </w:rPr>
      </w:pPr>
      <w:r w:rsidRPr="00000F23">
        <w:rPr>
          <w:rFonts w:ascii="宋体" w:eastAsia="宋体" w:hAnsi="宋体" w:cs="Times New Roman"/>
          <w:kern w:val="0"/>
          <w:sz w:val="28"/>
          <w:szCs w:val="28"/>
        </w:rPr>
        <w:lastRenderedPageBreak/>
        <w:t>思特雅大学非常重视与中国高校的交流合作，已陆续与</w:t>
      </w:r>
      <w:r w:rsidR="00FB039B" w:rsidRPr="00000F23">
        <w:rPr>
          <w:sz w:val="28"/>
          <w:szCs w:val="28"/>
        </w:rPr>
        <w:fldChar w:fldCharType="begin"/>
      </w:r>
      <w:r w:rsidRPr="00000F23">
        <w:rPr>
          <w:sz w:val="28"/>
          <w:szCs w:val="28"/>
        </w:rPr>
        <w:instrText>HYPERLINK "https://baike.sogou.com/lemma/ShowInnerLink.htm?lemmaId=49582&amp;ss_c=ssc.citiao.link" \t "https://baike.sogou.com/_blank"</w:instrText>
      </w:r>
      <w:r w:rsidR="00FB039B" w:rsidRPr="00000F23">
        <w:rPr>
          <w:sz w:val="28"/>
          <w:szCs w:val="28"/>
        </w:rPr>
        <w:fldChar w:fldCharType="separate"/>
      </w:r>
      <w:r w:rsidRPr="00000F23">
        <w:rPr>
          <w:rFonts w:ascii="宋体" w:eastAsia="宋体" w:hAnsi="宋体" w:cs="Times New Roman"/>
          <w:kern w:val="0"/>
          <w:sz w:val="28"/>
          <w:szCs w:val="28"/>
        </w:rPr>
        <w:t>清华大学</w:t>
      </w:r>
      <w:r w:rsidR="00FB039B" w:rsidRPr="00000F23">
        <w:rPr>
          <w:sz w:val="28"/>
          <w:szCs w:val="28"/>
        </w:rPr>
        <w:fldChar w:fldCharType="end"/>
      </w:r>
      <w:r w:rsidRPr="00000F23">
        <w:rPr>
          <w:rFonts w:ascii="宋体" w:eastAsia="宋体" w:hAnsi="宋体" w:cs="Times New Roman"/>
          <w:kern w:val="0"/>
          <w:sz w:val="28"/>
          <w:szCs w:val="28"/>
        </w:rPr>
        <w:t>、</w:t>
      </w:r>
      <w:hyperlink r:id="rId16" w:tgtFrame="https://baike.sogou.com/_blank" w:history="1">
        <w:r w:rsidRPr="00000F23">
          <w:rPr>
            <w:rFonts w:ascii="宋体" w:eastAsia="宋体" w:hAnsi="宋体" w:cs="Times New Roman"/>
            <w:kern w:val="0"/>
            <w:sz w:val="28"/>
            <w:szCs w:val="28"/>
          </w:rPr>
          <w:t>上海大学</w:t>
        </w:r>
      </w:hyperlink>
      <w:r w:rsidRPr="00000F23">
        <w:rPr>
          <w:rFonts w:ascii="宋体" w:eastAsia="宋体" w:hAnsi="宋体" w:cs="Times New Roman"/>
          <w:kern w:val="0"/>
          <w:sz w:val="28"/>
          <w:szCs w:val="28"/>
        </w:rPr>
        <w:t>、</w:t>
      </w:r>
      <w:hyperlink r:id="rId17" w:tgtFrame="https://baike.sogou.com/_blank" w:history="1">
        <w:r w:rsidRPr="00000F23">
          <w:rPr>
            <w:rFonts w:ascii="宋体" w:eastAsia="宋体" w:hAnsi="宋体" w:cs="Times New Roman"/>
            <w:kern w:val="0"/>
            <w:sz w:val="28"/>
            <w:szCs w:val="28"/>
          </w:rPr>
          <w:t>扬州大学</w:t>
        </w:r>
      </w:hyperlink>
      <w:r w:rsidRPr="00000F23">
        <w:rPr>
          <w:rFonts w:ascii="宋体" w:eastAsia="宋体" w:hAnsi="宋体" w:cs="Times New Roman"/>
          <w:kern w:val="0"/>
          <w:sz w:val="28"/>
          <w:szCs w:val="28"/>
        </w:rPr>
        <w:t>等数十所高校开展了本科及硕士项目的合作。历年中国毕业生，或转往欧美继续深造，或进入跨国公司，更有优秀学子开创了留学生企业。</w:t>
      </w:r>
    </w:p>
    <w:p w:rsidR="00B11DC2" w:rsidRPr="00000F23" w:rsidRDefault="00B13E00">
      <w:pPr>
        <w:widowControl/>
        <w:spacing w:after="200" w:line="276" w:lineRule="auto"/>
        <w:jc w:val="left"/>
        <w:rPr>
          <w:rFonts w:ascii="Calibri" w:eastAsia="宋体" w:hAnsi="Calibri" w:cs="Times New Roman"/>
          <w:b/>
          <w:kern w:val="0"/>
          <w:sz w:val="28"/>
          <w:szCs w:val="28"/>
        </w:rPr>
      </w:pPr>
      <w:r w:rsidRPr="00000F23">
        <w:rPr>
          <w:rFonts w:ascii="Calibri" w:eastAsia="宋体" w:hAnsi="Calibri" w:cs="Times New Roman" w:hint="eastAsia"/>
          <w:b/>
          <w:kern w:val="0"/>
          <w:sz w:val="28"/>
          <w:szCs w:val="28"/>
        </w:rPr>
        <w:t>二</w:t>
      </w:r>
      <w:r w:rsidR="00000F23" w:rsidRPr="00000F23">
        <w:rPr>
          <w:rFonts w:ascii="Calibri" w:eastAsia="宋体" w:hAnsi="Calibri" w:cs="Times New Roman" w:hint="eastAsia"/>
          <w:b/>
          <w:kern w:val="0"/>
          <w:sz w:val="28"/>
          <w:szCs w:val="28"/>
        </w:rPr>
        <w:t>、项目内容</w:t>
      </w:r>
    </w:p>
    <w:p w:rsidR="00B11DC2" w:rsidRPr="00000F23" w:rsidRDefault="00692F24" w:rsidP="00000F23">
      <w:pPr>
        <w:spacing w:line="400" w:lineRule="exact"/>
        <w:ind w:firstLineChars="200" w:firstLine="560"/>
        <w:rPr>
          <w:rFonts w:ascii="宋体" w:eastAsia="宋体" w:hAnsi="宋体" w:cs="Times New Roman"/>
          <w:kern w:val="0"/>
          <w:sz w:val="28"/>
          <w:szCs w:val="28"/>
        </w:rPr>
      </w:pPr>
      <w:r w:rsidRPr="00000F23">
        <w:rPr>
          <w:rFonts w:ascii="宋体" w:eastAsia="宋体" w:hAnsi="宋体" w:cs="Times New Roman" w:hint="eastAsia"/>
          <w:kern w:val="0"/>
          <w:sz w:val="28"/>
          <w:szCs w:val="28"/>
        </w:rPr>
        <w:t xml:space="preserve">马来西亚短期游学项目，旨在以培养复合型人才为基础提高学生英语水平，开阔学生的国际化视野，探索“一带一路”战略要国的多元文化、发展形势和新机遇、帮助学生了解个人的发展方向，对于有意留学的学生是一次绝好的考察留学环境的机会。   </w:t>
      </w:r>
    </w:p>
    <w:p w:rsidR="00B11DC2" w:rsidRPr="00000F23" w:rsidRDefault="00692F24" w:rsidP="00000F23">
      <w:pPr>
        <w:spacing w:line="400" w:lineRule="exact"/>
        <w:ind w:firstLineChars="200" w:firstLine="560"/>
        <w:rPr>
          <w:rFonts w:ascii="宋体" w:eastAsia="宋体" w:hAnsi="宋体" w:cs="Times New Roman"/>
          <w:kern w:val="0"/>
          <w:sz w:val="28"/>
          <w:szCs w:val="28"/>
        </w:rPr>
      </w:pPr>
      <w:r w:rsidRPr="00000F23">
        <w:rPr>
          <w:rFonts w:ascii="宋体" w:eastAsia="宋体" w:hAnsi="宋体" w:cs="Times New Roman" w:hint="eastAsia"/>
          <w:kern w:val="0"/>
          <w:sz w:val="28"/>
          <w:szCs w:val="28"/>
        </w:rPr>
        <w:t>“读万卷书，行万里路”为开阔学生的国际化视野，全面了解马来西亚的多元文化，为学生此次的马来西亚之旅不虚此行，为学生安排了：马来西亚文化体验之旅，都市之旅。行程所到之处囊括了马来西亚最具特色的城市和景点：国际化都市亦首都——吉隆坡双子塔、行政首府——布城，可以说这是一次名副其实、多角度的马来西亚深度游。</w:t>
      </w:r>
    </w:p>
    <w:p w:rsidR="00B11DC2" w:rsidRPr="00000F23" w:rsidRDefault="00692F24" w:rsidP="00000F23">
      <w:pPr>
        <w:spacing w:line="400" w:lineRule="exact"/>
        <w:ind w:firstLineChars="200" w:firstLine="560"/>
        <w:rPr>
          <w:rFonts w:ascii="宋体" w:eastAsia="宋体" w:hAnsi="宋体" w:cs="Times New Roman"/>
          <w:kern w:val="0"/>
          <w:sz w:val="28"/>
          <w:szCs w:val="28"/>
          <w:lang w:eastAsia="en-US"/>
        </w:rPr>
      </w:pPr>
      <w:r w:rsidRPr="00000F23">
        <w:rPr>
          <w:rFonts w:ascii="宋体" w:hAnsi="宋体" w:cs="宋体" w:hint="eastAsia"/>
          <w:color w:val="000000"/>
          <w:sz w:val="28"/>
          <w:szCs w:val="28"/>
          <w:lang w:eastAsia="en-US"/>
        </w:rPr>
        <w:t>A．</w:t>
      </w:r>
      <w:r w:rsidRPr="00000F23">
        <w:rPr>
          <w:rFonts w:ascii="宋体" w:eastAsia="宋体" w:hAnsi="宋体" w:cs="Times New Roman" w:hint="eastAsia"/>
          <w:kern w:val="0"/>
          <w:sz w:val="28"/>
          <w:szCs w:val="28"/>
          <w:lang w:eastAsia="en-US"/>
        </w:rPr>
        <w:t>利用游学环境强化英语语言</w:t>
      </w:r>
    </w:p>
    <w:p w:rsidR="00B11DC2" w:rsidRPr="00000F23" w:rsidRDefault="00692F24" w:rsidP="00000F23">
      <w:pPr>
        <w:spacing w:line="400" w:lineRule="exact"/>
        <w:ind w:firstLineChars="200" w:firstLine="560"/>
        <w:rPr>
          <w:rFonts w:ascii="宋体" w:eastAsia="宋体" w:hAnsi="宋体" w:cs="Times New Roman"/>
          <w:kern w:val="0"/>
          <w:sz w:val="28"/>
          <w:szCs w:val="28"/>
          <w:lang w:eastAsia="en-US"/>
        </w:rPr>
      </w:pPr>
      <w:r w:rsidRPr="00000F23">
        <w:rPr>
          <w:rFonts w:ascii="宋体" w:eastAsia="宋体" w:hAnsi="宋体" w:cs="Times New Roman" w:hint="eastAsia"/>
          <w:kern w:val="0"/>
          <w:sz w:val="28"/>
          <w:szCs w:val="28"/>
          <w:lang w:eastAsia="en-US"/>
        </w:rPr>
        <w:t>游学期间，我们安排学生在环境优美的大学学习英语，由专业并富有经验的老师执教，区别于国内的教学模式，能够让学生对国内的英语学习进行思考和总结，不仅使学生的英语阅读，写作能力有所提高，并且在听力和口语方面有质的飞跃，同时也是锻炼学生独立思考，逻辑思维的能力。</w:t>
      </w:r>
    </w:p>
    <w:p w:rsidR="00B11DC2" w:rsidRPr="00000F23" w:rsidRDefault="00692F24" w:rsidP="00000F23">
      <w:pPr>
        <w:spacing w:line="400" w:lineRule="exact"/>
        <w:ind w:firstLineChars="200" w:firstLine="560"/>
        <w:rPr>
          <w:rFonts w:ascii="宋体" w:eastAsia="宋体" w:hAnsi="宋体" w:cs="Times New Roman"/>
          <w:kern w:val="0"/>
          <w:sz w:val="28"/>
          <w:szCs w:val="28"/>
          <w:lang w:eastAsia="en-US"/>
        </w:rPr>
      </w:pPr>
      <w:r w:rsidRPr="00000F23">
        <w:rPr>
          <w:rFonts w:ascii="宋体" w:eastAsia="宋体" w:hAnsi="宋体" w:cs="Times New Roman" w:hint="eastAsia"/>
          <w:kern w:val="0"/>
          <w:sz w:val="28"/>
          <w:szCs w:val="28"/>
          <w:lang w:eastAsia="en-US"/>
        </w:rPr>
        <w:t xml:space="preserve">B. </w:t>
      </w:r>
      <w:proofErr w:type="spellStart"/>
      <w:r w:rsidRPr="00000F23">
        <w:rPr>
          <w:rFonts w:ascii="宋体" w:eastAsia="宋体" w:hAnsi="宋体" w:cs="Times New Roman" w:hint="eastAsia"/>
          <w:kern w:val="0"/>
          <w:sz w:val="28"/>
          <w:szCs w:val="28"/>
          <w:lang w:eastAsia="en-US"/>
        </w:rPr>
        <w:t>与“一带一路”相结合，展望未来（复合型人才培养</w:t>
      </w:r>
      <w:proofErr w:type="spellEnd"/>
      <w:r w:rsidRPr="00000F23">
        <w:rPr>
          <w:rFonts w:ascii="宋体" w:eastAsia="宋体" w:hAnsi="宋体" w:cs="Times New Roman" w:hint="eastAsia"/>
          <w:kern w:val="0"/>
          <w:sz w:val="28"/>
          <w:szCs w:val="28"/>
          <w:lang w:eastAsia="en-US"/>
        </w:rPr>
        <w:t>）</w:t>
      </w:r>
    </w:p>
    <w:p w:rsidR="00B11DC2" w:rsidRPr="00000F23" w:rsidRDefault="00692F24" w:rsidP="00000F23">
      <w:pPr>
        <w:spacing w:line="400" w:lineRule="exact"/>
        <w:ind w:firstLineChars="200" w:firstLine="560"/>
        <w:rPr>
          <w:rFonts w:ascii="宋体" w:eastAsia="宋体" w:hAnsi="宋体" w:cs="Times New Roman"/>
          <w:kern w:val="0"/>
          <w:sz w:val="28"/>
          <w:szCs w:val="28"/>
          <w:lang w:eastAsia="en-US"/>
        </w:rPr>
      </w:pPr>
      <w:r w:rsidRPr="00000F23">
        <w:rPr>
          <w:rFonts w:ascii="宋体" w:eastAsia="宋体" w:hAnsi="宋体" w:cs="Times New Roman" w:hint="eastAsia"/>
          <w:kern w:val="0"/>
          <w:sz w:val="28"/>
          <w:szCs w:val="28"/>
          <w:lang w:eastAsia="en-US"/>
        </w:rPr>
        <w:t>自从中国发布推进“一带一路”政策之后，马来西亚成为战略要国，中国对马来西亚的投资以及双边贸易大幅度增加，同时也吸引着中国企业家认识它，了解它，寻求更多的拓展机会。</w:t>
      </w:r>
    </w:p>
    <w:p w:rsidR="00B11DC2" w:rsidRPr="00000F23" w:rsidRDefault="00692F24" w:rsidP="00000F23">
      <w:pPr>
        <w:spacing w:line="400" w:lineRule="exact"/>
        <w:ind w:firstLineChars="200" w:firstLine="560"/>
        <w:rPr>
          <w:rFonts w:ascii="宋体" w:hAnsi="宋体" w:cs="宋体"/>
          <w:color w:val="000000"/>
          <w:sz w:val="28"/>
          <w:szCs w:val="28"/>
        </w:rPr>
      </w:pPr>
      <w:r w:rsidRPr="00000F23">
        <w:rPr>
          <w:rFonts w:ascii="宋体" w:eastAsia="宋体" w:hAnsi="宋体" w:cs="Times New Roman" w:hint="eastAsia"/>
          <w:kern w:val="0"/>
          <w:sz w:val="28"/>
          <w:szCs w:val="28"/>
          <w:lang w:eastAsia="en-US"/>
        </w:rPr>
        <w:t>马来西亚本身拥有得天独厚的文化氛围，学生可以在一个相对熟悉的文化环境下学习、探索。培养学生综合素质和技能，安排不同的方向的专业课讲解学生可提前了解未来不同行业的行业信息，就业前景等问题，与此同时，学</w:t>
      </w:r>
      <w:r w:rsidRPr="00000F23">
        <w:rPr>
          <w:rFonts w:ascii="宋体" w:hAnsi="宋体" w:cs="宋体" w:hint="eastAsia"/>
          <w:color w:val="000000"/>
          <w:sz w:val="28"/>
          <w:szCs w:val="28"/>
          <w:lang w:eastAsia="en-US"/>
        </w:rPr>
        <w:t>生也可提前了解对不同行业的兴趣程度，为学生未来就业打下良好的基础</w:t>
      </w:r>
      <w:r w:rsidRPr="00000F23">
        <w:rPr>
          <w:rFonts w:ascii="宋体" w:hAnsi="宋体" w:cs="宋体" w:hint="eastAsia"/>
          <w:color w:val="000000"/>
          <w:sz w:val="28"/>
          <w:szCs w:val="28"/>
        </w:rPr>
        <w:t>。</w:t>
      </w:r>
    </w:p>
    <w:p w:rsidR="00B11DC2" w:rsidRPr="00000F23" w:rsidRDefault="00692F24" w:rsidP="00000F23">
      <w:pPr>
        <w:spacing w:line="400" w:lineRule="exact"/>
        <w:ind w:firstLineChars="200" w:firstLine="560"/>
        <w:rPr>
          <w:rFonts w:ascii="宋体" w:hAnsi="宋体" w:cs="宋体"/>
          <w:color w:val="000000"/>
          <w:sz w:val="28"/>
          <w:szCs w:val="28"/>
          <w:lang w:eastAsia="en-US"/>
        </w:rPr>
      </w:pPr>
      <w:r w:rsidRPr="00000F23">
        <w:rPr>
          <w:rFonts w:ascii="宋体" w:hAnsi="宋体" w:cs="宋体" w:hint="eastAsia"/>
          <w:color w:val="000000"/>
          <w:sz w:val="28"/>
          <w:szCs w:val="28"/>
          <w:lang w:eastAsia="en-US"/>
        </w:rPr>
        <w:t xml:space="preserve">C. </w:t>
      </w:r>
      <w:proofErr w:type="spellStart"/>
      <w:r w:rsidRPr="00000F23">
        <w:rPr>
          <w:rFonts w:ascii="宋体" w:hAnsi="宋体" w:cs="宋体" w:hint="eastAsia"/>
          <w:color w:val="000000"/>
          <w:sz w:val="28"/>
          <w:szCs w:val="28"/>
          <w:lang w:eastAsia="en-US"/>
        </w:rPr>
        <w:t>借助游学机会为将来出国深造奠定基础</w:t>
      </w:r>
      <w:proofErr w:type="spellEnd"/>
    </w:p>
    <w:p w:rsidR="00B11DC2" w:rsidRPr="00000F23" w:rsidRDefault="00692F24" w:rsidP="00000F23">
      <w:pPr>
        <w:spacing w:line="400" w:lineRule="exact"/>
        <w:ind w:firstLineChars="200" w:firstLine="560"/>
        <w:rPr>
          <w:rFonts w:ascii="宋体" w:hAnsi="宋体" w:cs="宋体"/>
          <w:color w:val="000000"/>
          <w:sz w:val="28"/>
          <w:szCs w:val="28"/>
          <w:lang w:eastAsia="en-US"/>
        </w:rPr>
      </w:pPr>
      <w:r w:rsidRPr="00000F23">
        <w:rPr>
          <w:rFonts w:ascii="宋体" w:hAnsi="宋体" w:cs="宋体" w:hint="eastAsia"/>
          <w:color w:val="000000"/>
          <w:sz w:val="28"/>
          <w:szCs w:val="28"/>
          <w:lang w:eastAsia="en-US"/>
        </w:rPr>
        <w:lastRenderedPageBreak/>
        <w:t>借助游学的平台，尤其为准备有意到海外，特别是工薪阶层家庭的孩子创造一个认识，适应和选择国际化教育的机会，从而减少留学的盲目性，低廉的成本接受国际化的教育。与此同时，学生也可以对英联邦国家的教育体系提前得到明确的了解，对于已有志向或者有意愿出国的学生提供一次实地考察的机会，为出国深造奠定了基础。</w:t>
      </w:r>
    </w:p>
    <w:p w:rsidR="00B11DC2" w:rsidRPr="00000F23" w:rsidRDefault="00692F24" w:rsidP="00000F23">
      <w:pPr>
        <w:spacing w:line="400" w:lineRule="exact"/>
        <w:ind w:firstLineChars="200" w:firstLine="560"/>
        <w:rPr>
          <w:rFonts w:ascii="宋体" w:hAnsi="宋体" w:cs="宋体"/>
          <w:color w:val="000000"/>
          <w:sz w:val="28"/>
          <w:szCs w:val="28"/>
          <w:lang w:eastAsia="en-US"/>
        </w:rPr>
      </w:pPr>
      <w:r w:rsidRPr="00000F23">
        <w:rPr>
          <w:rFonts w:ascii="宋体" w:hAnsi="宋体" w:cs="宋体" w:hint="eastAsia"/>
          <w:color w:val="000000"/>
          <w:sz w:val="28"/>
          <w:szCs w:val="28"/>
          <w:lang w:eastAsia="en-US"/>
        </w:rPr>
        <w:t xml:space="preserve">D. </w:t>
      </w:r>
      <w:proofErr w:type="spellStart"/>
      <w:r w:rsidRPr="00000F23">
        <w:rPr>
          <w:rFonts w:ascii="宋体" w:hAnsi="宋体" w:cs="宋体" w:hint="eastAsia"/>
          <w:color w:val="000000"/>
          <w:sz w:val="28"/>
          <w:szCs w:val="28"/>
          <w:lang w:eastAsia="en-US"/>
        </w:rPr>
        <w:t>游览体验马来西亚风土人情</w:t>
      </w:r>
      <w:proofErr w:type="spellEnd"/>
    </w:p>
    <w:p w:rsidR="00B11DC2" w:rsidRPr="00000F23" w:rsidRDefault="00692F24" w:rsidP="00000F23">
      <w:pPr>
        <w:spacing w:line="400" w:lineRule="exact"/>
        <w:ind w:firstLineChars="200" w:firstLine="560"/>
        <w:rPr>
          <w:rFonts w:ascii="宋体" w:hAnsi="宋体" w:cs="宋体"/>
          <w:color w:val="000000"/>
          <w:sz w:val="28"/>
          <w:szCs w:val="28"/>
          <w:lang w:eastAsia="en-US"/>
        </w:rPr>
      </w:pPr>
      <w:r w:rsidRPr="00000F23">
        <w:rPr>
          <w:rFonts w:ascii="宋体" w:hAnsi="宋体" w:cs="宋体" w:hint="eastAsia"/>
          <w:color w:val="000000"/>
          <w:sz w:val="28"/>
          <w:szCs w:val="28"/>
          <w:lang w:eastAsia="en-US"/>
        </w:rPr>
        <w:t>马来西亚是个自然资源及旅游资源十分丰富的国家，是世界上最大的天然橡胶、棕榈油及锡制品出产国，也是优质热带硬木、石及天然气的重要出产国，此外也生产可可、椰子等经济作物。马来西亚的气候宜人，阳光充足，拥有高质量的海滩、原始热带丛林，</w:t>
      </w:r>
    </w:p>
    <w:p w:rsidR="00B11DC2" w:rsidRPr="00000F23" w:rsidRDefault="00692F24">
      <w:pPr>
        <w:spacing w:line="400" w:lineRule="exact"/>
        <w:rPr>
          <w:rFonts w:ascii="宋体" w:hAnsi="宋体" w:cs="宋体"/>
          <w:color w:val="000000"/>
          <w:sz w:val="28"/>
          <w:szCs w:val="28"/>
          <w:lang w:eastAsia="en-US"/>
        </w:rPr>
      </w:pPr>
      <w:proofErr w:type="spellStart"/>
      <w:r w:rsidRPr="00000F23">
        <w:rPr>
          <w:rFonts w:ascii="宋体" w:hAnsi="宋体" w:cs="宋体" w:hint="eastAsia"/>
          <w:color w:val="000000"/>
          <w:sz w:val="28"/>
          <w:szCs w:val="28"/>
          <w:lang w:eastAsia="en-US"/>
        </w:rPr>
        <w:t>古老的民俗民风、悠久历史文化以及以及现代化的都市</w:t>
      </w:r>
      <w:proofErr w:type="spellEnd"/>
      <w:r w:rsidRPr="00000F23">
        <w:rPr>
          <w:rFonts w:ascii="宋体" w:hAnsi="宋体" w:cs="宋体" w:hint="eastAsia"/>
          <w:color w:val="000000"/>
          <w:sz w:val="28"/>
          <w:szCs w:val="28"/>
          <w:lang w:eastAsia="en-US"/>
        </w:rPr>
        <w:t>。</w:t>
      </w:r>
      <w:proofErr w:type="spellStart"/>
      <w:r w:rsidRPr="00000F23">
        <w:rPr>
          <w:rFonts w:ascii="宋体" w:hAnsi="宋体" w:cs="宋体" w:hint="eastAsia"/>
          <w:color w:val="000000"/>
          <w:sz w:val="28"/>
          <w:szCs w:val="28"/>
          <w:lang w:eastAsia="en-US"/>
        </w:rPr>
        <w:t>马来西亚共有</w:t>
      </w:r>
      <w:proofErr w:type="spellEnd"/>
      <w:r w:rsidRPr="00000F23">
        <w:rPr>
          <w:rFonts w:ascii="宋体" w:hAnsi="宋体" w:cs="宋体" w:hint="eastAsia"/>
          <w:color w:val="000000"/>
          <w:sz w:val="28"/>
          <w:szCs w:val="28"/>
          <w:lang w:eastAsia="en-US"/>
        </w:rPr>
        <w:t xml:space="preserve"> 32 </w:t>
      </w:r>
      <w:proofErr w:type="spellStart"/>
      <w:r w:rsidRPr="00000F23">
        <w:rPr>
          <w:rFonts w:ascii="宋体" w:hAnsi="宋体" w:cs="宋体" w:hint="eastAsia"/>
          <w:color w:val="000000"/>
          <w:sz w:val="28"/>
          <w:szCs w:val="28"/>
          <w:lang w:eastAsia="en-US"/>
        </w:rPr>
        <w:t>个民族和睦相处，主要包含马来人、华人（约占总人口</w:t>
      </w:r>
      <w:proofErr w:type="spellEnd"/>
      <w:r w:rsidRPr="00000F23">
        <w:rPr>
          <w:rFonts w:ascii="宋体" w:hAnsi="宋体" w:cs="宋体" w:hint="eastAsia"/>
          <w:color w:val="000000"/>
          <w:sz w:val="28"/>
          <w:szCs w:val="28"/>
          <w:lang w:eastAsia="en-US"/>
        </w:rPr>
        <w:t xml:space="preserve"> 30%）、印度人三大民族、原住民、欧亚混血等，人民享有宗教自由，多元语言并存。</w:t>
      </w:r>
    </w:p>
    <w:p w:rsidR="00B11DC2" w:rsidRDefault="00B11DC2">
      <w:pPr>
        <w:pStyle w:val="a8"/>
        <w:ind w:firstLineChars="0" w:firstLine="0"/>
        <w:rPr>
          <w:rFonts w:ascii="Calibri" w:eastAsia="宋体" w:hAnsi="Calibri" w:cs="Times New Roman"/>
          <w:b/>
          <w:kern w:val="0"/>
          <w:sz w:val="22"/>
        </w:rPr>
      </w:pPr>
    </w:p>
    <w:p w:rsidR="00B11DC2" w:rsidRPr="00000F23" w:rsidRDefault="00000F23">
      <w:pPr>
        <w:pStyle w:val="a8"/>
        <w:numPr>
          <w:ilvl w:val="0"/>
          <w:numId w:val="2"/>
        </w:numPr>
        <w:ind w:firstLineChars="0" w:firstLine="0"/>
        <w:rPr>
          <w:rFonts w:ascii="Calibri" w:eastAsia="宋体" w:hAnsi="Calibri" w:cs="Times New Roman"/>
          <w:b/>
          <w:kern w:val="0"/>
          <w:sz w:val="28"/>
          <w:szCs w:val="28"/>
        </w:rPr>
      </w:pPr>
      <w:r w:rsidRPr="00000F23">
        <w:rPr>
          <w:rFonts w:ascii="Calibri" w:eastAsia="宋体" w:hAnsi="Calibri" w:cs="Times New Roman" w:hint="eastAsia"/>
          <w:b/>
          <w:kern w:val="0"/>
          <w:sz w:val="28"/>
          <w:szCs w:val="28"/>
        </w:rPr>
        <w:t>马来西亚游学入学指南</w:t>
      </w:r>
    </w:p>
    <w:p w:rsidR="00B11DC2" w:rsidRPr="00000F23" w:rsidRDefault="00000F23">
      <w:pPr>
        <w:widowControl/>
        <w:spacing w:after="200" w:line="276" w:lineRule="auto"/>
        <w:jc w:val="left"/>
        <w:rPr>
          <w:rFonts w:ascii="宋体" w:hAnsi="宋体"/>
          <w:b/>
          <w:color w:val="000000"/>
          <w:sz w:val="28"/>
          <w:szCs w:val="28"/>
        </w:rPr>
      </w:pPr>
      <w:r w:rsidRPr="00000F23">
        <w:rPr>
          <w:rFonts w:ascii="宋体" w:hAnsi="宋体"/>
          <w:b/>
          <w:color w:val="000000"/>
          <w:sz w:val="28"/>
          <w:szCs w:val="28"/>
        </w:rPr>
        <w:t>日程安排：</w:t>
      </w:r>
    </w:p>
    <w:p w:rsidR="00000F23" w:rsidRPr="00000F23" w:rsidRDefault="00000F23">
      <w:pPr>
        <w:widowControl/>
        <w:spacing w:after="200" w:line="276" w:lineRule="auto"/>
        <w:jc w:val="left"/>
        <w:rPr>
          <w:rFonts w:ascii="宋体" w:hAnsi="宋体"/>
          <w:color w:val="000000"/>
          <w:sz w:val="28"/>
          <w:szCs w:val="28"/>
        </w:rPr>
      </w:pPr>
      <w:r w:rsidRPr="00000F23">
        <w:rPr>
          <w:rFonts w:ascii="宋体" w:hAnsi="宋体" w:hint="eastAsia"/>
          <w:color w:val="000000"/>
          <w:sz w:val="28"/>
          <w:szCs w:val="28"/>
        </w:rPr>
        <w:t>报名截止时间：2019年6月12日</w:t>
      </w:r>
    </w:p>
    <w:p w:rsidR="00000F23" w:rsidRPr="00000F23" w:rsidRDefault="00000F23">
      <w:pPr>
        <w:widowControl/>
        <w:spacing w:after="200" w:line="276" w:lineRule="auto"/>
        <w:jc w:val="left"/>
        <w:rPr>
          <w:rFonts w:ascii="宋体" w:hAnsi="宋体"/>
          <w:b/>
          <w:color w:val="000000"/>
          <w:sz w:val="28"/>
          <w:szCs w:val="28"/>
        </w:rPr>
      </w:pPr>
      <w:r w:rsidRPr="00000F23">
        <w:rPr>
          <w:rFonts w:ascii="宋体" w:hAnsi="宋体" w:hint="eastAsia"/>
          <w:b/>
          <w:color w:val="000000"/>
          <w:sz w:val="28"/>
          <w:szCs w:val="28"/>
        </w:rPr>
        <w:t>游学日程：</w:t>
      </w:r>
    </w:p>
    <w:p w:rsidR="00000F23" w:rsidRPr="00000F23" w:rsidRDefault="00000F23">
      <w:pPr>
        <w:widowControl/>
        <w:spacing w:after="200" w:line="276" w:lineRule="auto"/>
        <w:jc w:val="left"/>
        <w:rPr>
          <w:rFonts w:ascii="宋体" w:hAnsi="宋体"/>
          <w:color w:val="000000"/>
          <w:sz w:val="28"/>
          <w:szCs w:val="28"/>
        </w:rPr>
      </w:pPr>
      <w:r w:rsidRPr="00000F23">
        <w:rPr>
          <w:rFonts w:ascii="宋体" w:hAnsi="宋体" w:hint="eastAsia"/>
          <w:color w:val="000000"/>
          <w:sz w:val="28"/>
          <w:szCs w:val="28"/>
        </w:rPr>
        <w:t>2019年8月前中旬，10天</w:t>
      </w:r>
    </w:p>
    <w:p w:rsidR="00B11DC2" w:rsidRPr="00000F23" w:rsidRDefault="00000F23" w:rsidP="00000F23">
      <w:pPr>
        <w:widowControl/>
        <w:spacing w:after="200" w:line="440" w:lineRule="exact"/>
        <w:jc w:val="left"/>
        <w:rPr>
          <w:rFonts w:ascii="宋体" w:hAnsi="宋体" w:cs="宋体"/>
          <w:b/>
          <w:color w:val="000000"/>
          <w:spacing w:val="1"/>
          <w:sz w:val="28"/>
          <w:szCs w:val="28"/>
        </w:rPr>
      </w:pPr>
      <w:r w:rsidRPr="00000F23">
        <w:rPr>
          <w:rFonts w:ascii="宋体" w:hAnsi="宋体" w:hint="eastAsia"/>
          <w:b/>
          <w:color w:val="000000"/>
          <w:sz w:val="28"/>
          <w:szCs w:val="28"/>
        </w:rPr>
        <w:t>费用</w:t>
      </w:r>
      <w:r w:rsidR="00692F24" w:rsidRPr="00000F23">
        <w:rPr>
          <w:rFonts w:ascii="宋体" w:hAnsi="宋体" w:cs="宋体" w:hint="eastAsia"/>
          <w:b/>
          <w:color w:val="000000"/>
          <w:spacing w:val="1"/>
          <w:sz w:val="28"/>
          <w:szCs w:val="28"/>
        </w:rPr>
        <w:t>:</w:t>
      </w:r>
    </w:p>
    <w:p w:rsidR="00B11DC2" w:rsidRPr="00000F23" w:rsidRDefault="00692F24" w:rsidP="00000F23">
      <w:pPr>
        <w:spacing w:before="98" w:line="440" w:lineRule="exact"/>
        <w:rPr>
          <w:rFonts w:ascii="宋体" w:hAnsi="宋体" w:cs="宋体"/>
          <w:bCs/>
          <w:color w:val="000000"/>
          <w:spacing w:val="1"/>
          <w:sz w:val="28"/>
          <w:szCs w:val="28"/>
        </w:rPr>
      </w:pPr>
      <w:r w:rsidRPr="00000F23">
        <w:rPr>
          <w:rFonts w:ascii="宋体" w:hAnsi="宋体" w:cs="宋体" w:hint="eastAsia"/>
          <w:bCs/>
          <w:color w:val="000000"/>
          <w:spacing w:val="1"/>
          <w:sz w:val="28"/>
          <w:szCs w:val="28"/>
        </w:rPr>
        <w:t>a. 10-15 人 ，马币 2450/</w:t>
      </w:r>
      <w:r w:rsidR="00177DAF" w:rsidRPr="00000F23">
        <w:rPr>
          <w:rFonts w:ascii="宋体" w:hAnsi="宋体" w:cs="宋体" w:hint="eastAsia"/>
          <w:bCs/>
          <w:color w:val="000000"/>
          <w:spacing w:val="1"/>
          <w:sz w:val="28"/>
          <w:szCs w:val="28"/>
        </w:rPr>
        <w:t>人</w:t>
      </w:r>
      <w:r w:rsidRPr="00000F23">
        <w:rPr>
          <w:rFonts w:ascii="宋体" w:hAnsi="宋体" w:cs="宋体" w:hint="eastAsia"/>
          <w:bCs/>
          <w:color w:val="000000"/>
          <w:spacing w:val="1"/>
          <w:sz w:val="28"/>
          <w:szCs w:val="28"/>
        </w:rPr>
        <w:t>，折合人民币约 3920 （按当日汇率结算）</w:t>
      </w:r>
    </w:p>
    <w:p w:rsidR="00B11DC2" w:rsidRPr="00000F23" w:rsidRDefault="00692F24" w:rsidP="00000F23">
      <w:pPr>
        <w:spacing w:before="98" w:line="440" w:lineRule="exact"/>
        <w:rPr>
          <w:rFonts w:ascii="宋体" w:hAnsi="宋体" w:cs="宋体"/>
          <w:bCs/>
          <w:color w:val="000000"/>
          <w:spacing w:val="1"/>
          <w:sz w:val="28"/>
          <w:szCs w:val="28"/>
        </w:rPr>
      </w:pPr>
      <w:r w:rsidRPr="00000F23">
        <w:rPr>
          <w:rFonts w:ascii="宋体" w:hAnsi="宋体" w:cs="宋体" w:hint="eastAsia"/>
          <w:bCs/>
          <w:color w:val="000000"/>
          <w:spacing w:val="1"/>
          <w:sz w:val="28"/>
          <w:szCs w:val="28"/>
        </w:rPr>
        <w:t>b. 16-25 人，马币 2250/</w:t>
      </w:r>
      <w:r w:rsidR="00177DAF" w:rsidRPr="00000F23">
        <w:rPr>
          <w:rFonts w:ascii="宋体" w:hAnsi="宋体" w:cs="宋体" w:hint="eastAsia"/>
          <w:bCs/>
          <w:color w:val="000000"/>
          <w:spacing w:val="1"/>
          <w:sz w:val="28"/>
          <w:szCs w:val="28"/>
        </w:rPr>
        <w:t>人</w:t>
      </w:r>
      <w:r w:rsidRPr="00000F23">
        <w:rPr>
          <w:rFonts w:ascii="宋体" w:hAnsi="宋体" w:cs="宋体" w:hint="eastAsia"/>
          <w:bCs/>
          <w:color w:val="000000"/>
          <w:spacing w:val="1"/>
          <w:sz w:val="28"/>
          <w:szCs w:val="28"/>
        </w:rPr>
        <w:t>，折合人民币约 3600 （按当日汇率结算）</w:t>
      </w:r>
    </w:p>
    <w:p w:rsidR="00000F23" w:rsidRPr="00000F23" w:rsidRDefault="00000F23" w:rsidP="00000F23">
      <w:pPr>
        <w:spacing w:before="98" w:line="440" w:lineRule="exact"/>
        <w:rPr>
          <w:rFonts w:ascii="宋体" w:hAnsi="宋体" w:cs="宋体"/>
          <w:bCs/>
          <w:color w:val="000000"/>
          <w:spacing w:val="1"/>
          <w:sz w:val="20"/>
          <w:szCs w:val="28"/>
        </w:rPr>
      </w:pPr>
      <w:r w:rsidRPr="00000F23">
        <w:rPr>
          <w:rFonts w:ascii="宋体" w:hAnsi="宋体" w:cs="宋体" w:hint="eastAsia"/>
          <w:bCs/>
          <w:color w:val="000000"/>
          <w:spacing w:val="1"/>
          <w:sz w:val="20"/>
          <w:szCs w:val="28"/>
        </w:rPr>
        <w:t>*该费用包含学费、住宿费、教学餐费，不含个人往返机票、个人开销、护照签证办理等。</w:t>
      </w:r>
    </w:p>
    <w:p w:rsidR="00B11DC2" w:rsidRPr="00000F23" w:rsidRDefault="00B11DC2" w:rsidP="00000F23">
      <w:pPr>
        <w:pStyle w:val="1"/>
        <w:ind w:left="0"/>
      </w:pPr>
    </w:p>
    <w:sectPr w:rsidR="00B11DC2" w:rsidRPr="00000F23" w:rsidSect="00B11D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D3F" w:rsidRDefault="00D96D3F" w:rsidP="00177DAF">
      <w:r>
        <w:separator/>
      </w:r>
    </w:p>
  </w:endnote>
  <w:endnote w:type="continuationSeparator" w:id="0">
    <w:p w:rsidR="00D96D3F" w:rsidRDefault="00D96D3F" w:rsidP="00177D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D3F" w:rsidRDefault="00D96D3F" w:rsidP="00177DAF">
      <w:r>
        <w:separator/>
      </w:r>
    </w:p>
  </w:footnote>
  <w:footnote w:type="continuationSeparator" w:id="0">
    <w:p w:rsidR="00D96D3F" w:rsidRDefault="00D96D3F" w:rsidP="00177D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49824E"/>
    <w:multiLevelType w:val="singleLevel"/>
    <w:tmpl w:val="AA49824E"/>
    <w:lvl w:ilvl="0">
      <w:start w:val="2"/>
      <w:numFmt w:val="decimal"/>
      <w:suff w:val="nothing"/>
      <w:lvlText w:val="%1、"/>
      <w:lvlJc w:val="left"/>
      <w:pPr>
        <w:ind w:left="630" w:firstLine="0"/>
      </w:pPr>
    </w:lvl>
  </w:abstractNum>
  <w:abstractNum w:abstractNumId="1">
    <w:nsid w:val="AE877D7E"/>
    <w:multiLevelType w:val="singleLevel"/>
    <w:tmpl w:val="AE877D7E"/>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27CCF"/>
    <w:rsid w:val="00000F23"/>
    <w:rsid w:val="00005DAA"/>
    <w:rsid w:val="00014BB5"/>
    <w:rsid w:val="00027CCF"/>
    <w:rsid w:val="000B4126"/>
    <w:rsid w:val="000D731A"/>
    <w:rsid w:val="00124B92"/>
    <w:rsid w:val="00145863"/>
    <w:rsid w:val="00161E79"/>
    <w:rsid w:val="001758B1"/>
    <w:rsid w:val="00177DAF"/>
    <w:rsid w:val="00193C44"/>
    <w:rsid w:val="001A2ADB"/>
    <w:rsid w:val="001D3083"/>
    <w:rsid w:val="001D4277"/>
    <w:rsid w:val="001D5D67"/>
    <w:rsid w:val="00226FF0"/>
    <w:rsid w:val="00240E65"/>
    <w:rsid w:val="00254C2A"/>
    <w:rsid w:val="00271280"/>
    <w:rsid w:val="002730B4"/>
    <w:rsid w:val="002835A5"/>
    <w:rsid w:val="002D2C82"/>
    <w:rsid w:val="002D68F7"/>
    <w:rsid w:val="00306F6B"/>
    <w:rsid w:val="003345DD"/>
    <w:rsid w:val="00422853"/>
    <w:rsid w:val="00461BF5"/>
    <w:rsid w:val="004813BD"/>
    <w:rsid w:val="00491FCF"/>
    <w:rsid w:val="004A3C7B"/>
    <w:rsid w:val="005023D5"/>
    <w:rsid w:val="005141EA"/>
    <w:rsid w:val="00542390"/>
    <w:rsid w:val="0058301D"/>
    <w:rsid w:val="0059361A"/>
    <w:rsid w:val="005E438D"/>
    <w:rsid w:val="00627D3A"/>
    <w:rsid w:val="00677799"/>
    <w:rsid w:val="00692F24"/>
    <w:rsid w:val="00694141"/>
    <w:rsid w:val="006A3129"/>
    <w:rsid w:val="006A7093"/>
    <w:rsid w:val="006D0A3B"/>
    <w:rsid w:val="00711883"/>
    <w:rsid w:val="0072228D"/>
    <w:rsid w:val="007409E7"/>
    <w:rsid w:val="00770D42"/>
    <w:rsid w:val="00775D49"/>
    <w:rsid w:val="007F5386"/>
    <w:rsid w:val="00857D89"/>
    <w:rsid w:val="00916C95"/>
    <w:rsid w:val="00990BD3"/>
    <w:rsid w:val="00992880"/>
    <w:rsid w:val="009A6BFA"/>
    <w:rsid w:val="009C340A"/>
    <w:rsid w:val="00A74EDA"/>
    <w:rsid w:val="00A87256"/>
    <w:rsid w:val="00A95EDC"/>
    <w:rsid w:val="00A97220"/>
    <w:rsid w:val="00AB35EA"/>
    <w:rsid w:val="00AD3EB7"/>
    <w:rsid w:val="00B11DC2"/>
    <w:rsid w:val="00B13E00"/>
    <w:rsid w:val="00B34D3D"/>
    <w:rsid w:val="00B44D65"/>
    <w:rsid w:val="00B6393F"/>
    <w:rsid w:val="00B91BF1"/>
    <w:rsid w:val="00B929DD"/>
    <w:rsid w:val="00BC1802"/>
    <w:rsid w:val="00BC4B70"/>
    <w:rsid w:val="00BC5CC8"/>
    <w:rsid w:val="00C34161"/>
    <w:rsid w:val="00C67BE1"/>
    <w:rsid w:val="00CC3DFB"/>
    <w:rsid w:val="00CF3362"/>
    <w:rsid w:val="00D00716"/>
    <w:rsid w:val="00D61423"/>
    <w:rsid w:val="00D65E7B"/>
    <w:rsid w:val="00D75070"/>
    <w:rsid w:val="00D760FB"/>
    <w:rsid w:val="00D96D3F"/>
    <w:rsid w:val="00DF719D"/>
    <w:rsid w:val="00E37BC4"/>
    <w:rsid w:val="00E56D4A"/>
    <w:rsid w:val="00EF347B"/>
    <w:rsid w:val="00FB039B"/>
    <w:rsid w:val="00FD3854"/>
    <w:rsid w:val="034C1D0D"/>
    <w:rsid w:val="04E320E6"/>
    <w:rsid w:val="056B4B1C"/>
    <w:rsid w:val="05EE6C8A"/>
    <w:rsid w:val="0D013105"/>
    <w:rsid w:val="0F087AF2"/>
    <w:rsid w:val="12FF3C46"/>
    <w:rsid w:val="19613747"/>
    <w:rsid w:val="1A3E24B5"/>
    <w:rsid w:val="20136BFA"/>
    <w:rsid w:val="22135FA2"/>
    <w:rsid w:val="269E7D2C"/>
    <w:rsid w:val="2F8A3341"/>
    <w:rsid w:val="308C4A67"/>
    <w:rsid w:val="3E553377"/>
    <w:rsid w:val="404B449A"/>
    <w:rsid w:val="445779C9"/>
    <w:rsid w:val="45AF6BE2"/>
    <w:rsid w:val="46FD0FE7"/>
    <w:rsid w:val="4AD8788C"/>
    <w:rsid w:val="4B6C2C8B"/>
    <w:rsid w:val="4BBB3E35"/>
    <w:rsid w:val="4E2F548F"/>
    <w:rsid w:val="53507D52"/>
    <w:rsid w:val="545A593B"/>
    <w:rsid w:val="56BD73F1"/>
    <w:rsid w:val="6726716B"/>
    <w:rsid w:val="6739356D"/>
    <w:rsid w:val="6A002594"/>
    <w:rsid w:val="6C2C3651"/>
    <w:rsid w:val="71AA7165"/>
    <w:rsid w:val="736C003B"/>
    <w:rsid w:val="7767667F"/>
    <w:rsid w:val="77D24682"/>
    <w:rsid w:val="7D0B22E1"/>
    <w:rsid w:val="7D580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DC2"/>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rsid w:val="00B11DC2"/>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link w:val="4Char"/>
    <w:uiPriority w:val="9"/>
    <w:unhideWhenUsed/>
    <w:qFormat/>
    <w:rsid w:val="00B11DC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11DC2"/>
    <w:rPr>
      <w:sz w:val="18"/>
      <w:szCs w:val="18"/>
    </w:rPr>
  </w:style>
  <w:style w:type="paragraph" w:styleId="a4">
    <w:name w:val="Normal (Web)"/>
    <w:basedOn w:val="a"/>
    <w:uiPriority w:val="99"/>
    <w:semiHidden/>
    <w:unhideWhenUsed/>
    <w:qFormat/>
    <w:rsid w:val="00B11DC2"/>
    <w:pPr>
      <w:spacing w:beforeAutospacing="1" w:afterAutospacing="1"/>
      <w:jc w:val="left"/>
    </w:pPr>
    <w:rPr>
      <w:rFonts w:cs="Times New Roman"/>
      <w:kern w:val="0"/>
      <w:sz w:val="24"/>
    </w:rPr>
  </w:style>
  <w:style w:type="table" w:styleId="a5">
    <w:name w:val="Table Grid"/>
    <w:basedOn w:val="a1"/>
    <w:uiPriority w:val="59"/>
    <w:qFormat/>
    <w:rsid w:val="00B11D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semiHidden/>
    <w:unhideWhenUsed/>
    <w:qFormat/>
    <w:rsid w:val="00B11DC2"/>
    <w:rPr>
      <w:color w:val="333333"/>
      <w:u w:val="none"/>
    </w:rPr>
  </w:style>
  <w:style w:type="character" w:styleId="a7">
    <w:name w:val="Hyperlink"/>
    <w:basedOn w:val="a0"/>
    <w:uiPriority w:val="99"/>
    <w:semiHidden/>
    <w:unhideWhenUsed/>
    <w:qFormat/>
    <w:rsid w:val="00B11DC2"/>
    <w:rPr>
      <w:color w:val="333333"/>
      <w:u w:val="none"/>
    </w:rPr>
  </w:style>
  <w:style w:type="paragraph" w:styleId="a8">
    <w:name w:val="List Paragraph"/>
    <w:basedOn w:val="a"/>
    <w:uiPriority w:val="34"/>
    <w:qFormat/>
    <w:rsid w:val="00B11DC2"/>
    <w:pPr>
      <w:ind w:firstLineChars="200" w:firstLine="420"/>
    </w:pPr>
  </w:style>
  <w:style w:type="character" w:customStyle="1" w:styleId="4Char">
    <w:name w:val="标题 4 Char"/>
    <w:basedOn w:val="a0"/>
    <w:link w:val="4"/>
    <w:uiPriority w:val="9"/>
    <w:qFormat/>
    <w:rsid w:val="00B11DC2"/>
    <w:rPr>
      <w:rFonts w:asciiTheme="majorHAnsi" w:eastAsiaTheme="majorEastAsia" w:hAnsiTheme="majorHAnsi" w:cstheme="majorBidi"/>
      <w:b/>
      <w:bCs/>
      <w:sz w:val="28"/>
      <w:szCs w:val="28"/>
    </w:rPr>
  </w:style>
  <w:style w:type="paragraph" w:customStyle="1" w:styleId="1">
    <w:name w:val="列出段落1"/>
    <w:basedOn w:val="a"/>
    <w:uiPriority w:val="34"/>
    <w:qFormat/>
    <w:rsid w:val="00B11DC2"/>
    <w:pPr>
      <w:widowControl/>
      <w:spacing w:after="200" w:line="276" w:lineRule="auto"/>
      <w:ind w:left="720"/>
      <w:contextualSpacing/>
      <w:jc w:val="left"/>
    </w:pPr>
    <w:rPr>
      <w:rFonts w:ascii="Calibri" w:eastAsia="宋体" w:hAnsi="Calibri" w:cs="Times New Roman"/>
      <w:kern w:val="0"/>
      <w:sz w:val="22"/>
    </w:rPr>
  </w:style>
  <w:style w:type="character" w:customStyle="1" w:styleId="Char">
    <w:name w:val="批注框文本 Char"/>
    <w:basedOn w:val="a0"/>
    <w:link w:val="a3"/>
    <w:uiPriority w:val="99"/>
    <w:semiHidden/>
    <w:qFormat/>
    <w:rsid w:val="00B11DC2"/>
    <w:rPr>
      <w:sz w:val="18"/>
      <w:szCs w:val="18"/>
    </w:rPr>
  </w:style>
  <w:style w:type="character" w:customStyle="1" w:styleId="newstitle">
    <w:name w:val="news_title"/>
    <w:basedOn w:val="a0"/>
    <w:qFormat/>
    <w:rsid w:val="00B11DC2"/>
  </w:style>
  <w:style w:type="character" w:customStyle="1" w:styleId="item-name">
    <w:name w:val="item-name"/>
    <w:basedOn w:val="a0"/>
    <w:qFormat/>
    <w:rsid w:val="00B11DC2"/>
  </w:style>
  <w:style w:type="character" w:customStyle="1" w:styleId="item-name1">
    <w:name w:val="item-name1"/>
    <w:basedOn w:val="a0"/>
    <w:qFormat/>
    <w:rsid w:val="00B11DC2"/>
  </w:style>
  <w:style w:type="character" w:customStyle="1" w:styleId="item-name2">
    <w:name w:val="item-name2"/>
    <w:basedOn w:val="a0"/>
    <w:qFormat/>
    <w:rsid w:val="00B11DC2"/>
  </w:style>
  <w:style w:type="character" w:customStyle="1" w:styleId="item-name3">
    <w:name w:val="item-name3"/>
    <w:basedOn w:val="a0"/>
    <w:qFormat/>
    <w:rsid w:val="00B11DC2"/>
  </w:style>
  <w:style w:type="character" w:customStyle="1" w:styleId="newsmeta">
    <w:name w:val="news_meta"/>
    <w:basedOn w:val="a0"/>
    <w:qFormat/>
    <w:rsid w:val="00B11DC2"/>
  </w:style>
  <w:style w:type="character" w:customStyle="1" w:styleId="column-name12">
    <w:name w:val="column-name12"/>
    <w:basedOn w:val="a0"/>
    <w:qFormat/>
    <w:rsid w:val="00B11DC2"/>
    <w:rPr>
      <w:color w:val="007100"/>
    </w:rPr>
  </w:style>
  <w:style w:type="character" w:customStyle="1" w:styleId="column-name13">
    <w:name w:val="column-name13"/>
    <w:basedOn w:val="a0"/>
    <w:qFormat/>
    <w:rsid w:val="00B11DC2"/>
    <w:rPr>
      <w:color w:val="479447"/>
    </w:rPr>
  </w:style>
  <w:style w:type="character" w:customStyle="1" w:styleId="column-name14">
    <w:name w:val="column-name14"/>
    <w:basedOn w:val="a0"/>
    <w:qFormat/>
    <w:rsid w:val="00B11DC2"/>
    <w:rPr>
      <w:color w:val="479447"/>
    </w:rPr>
  </w:style>
  <w:style w:type="character" w:customStyle="1" w:styleId="column-name15">
    <w:name w:val="column-name15"/>
    <w:basedOn w:val="a0"/>
    <w:qFormat/>
    <w:rsid w:val="00B11DC2"/>
    <w:rPr>
      <w:color w:val="124D83"/>
    </w:rPr>
  </w:style>
  <w:style w:type="character" w:customStyle="1" w:styleId="column-name16">
    <w:name w:val="column-name16"/>
    <w:basedOn w:val="a0"/>
    <w:qFormat/>
    <w:rsid w:val="00B11DC2"/>
    <w:rPr>
      <w:color w:val="124D83"/>
    </w:rPr>
  </w:style>
  <w:style w:type="paragraph" w:styleId="a9">
    <w:name w:val="header"/>
    <w:basedOn w:val="a"/>
    <w:link w:val="Char0"/>
    <w:uiPriority w:val="99"/>
    <w:semiHidden/>
    <w:unhideWhenUsed/>
    <w:rsid w:val="00177D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semiHidden/>
    <w:rsid w:val="00177DAF"/>
    <w:rPr>
      <w:rFonts w:asciiTheme="minorHAnsi" w:eastAsiaTheme="minorEastAsia" w:hAnsiTheme="minorHAnsi" w:cstheme="minorBidi"/>
      <w:kern w:val="2"/>
      <w:sz w:val="18"/>
      <w:szCs w:val="18"/>
    </w:rPr>
  </w:style>
  <w:style w:type="paragraph" w:styleId="aa">
    <w:name w:val="footer"/>
    <w:basedOn w:val="a"/>
    <w:link w:val="Char1"/>
    <w:uiPriority w:val="99"/>
    <w:semiHidden/>
    <w:unhideWhenUsed/>
    <w:rsid w:val="00177DAF"/>
    <w:pPr>
      <w:tabs>
        <w:tab w:val="center" w:pos="4153"/>
        <w:tab w:val="right" w:pos="8306"/>
      </w:tabs>
      <w:snapToGrid w:val="0"/>
      <w:jc w:val="left"/>
    </w:pPr>
    <w:rPr>
      <w:sz w:val="18"/>
      <w:szCs w:val="18"/>
    </w:rPr>
  </w:style>
  <w:style w:type="character" w:customStyle="1" w:styleId="Char1">
    <w:name w:val="页脚 Char"/>
    <w:basedOn w:val="a0"/>
    <w:link w:val="aa"/>
    <w:uiPriority w:val="99"/>
    <w:semiHidden/>
    <w:rsid w:val="00177DA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sogou.com/lemma/ShowInnerLink.htm?lemmaId=10727444&amp;ss_c=ssc.citiao.link"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sogou.com/lemma/ShowInnerLink.htm?lemmaId=469764" TargetMode="External"/><Relationship Id="rId17" Type="http://schemas.openxmlformats.org/officeDocument/2006/relationships/hyperlink" Target="https://baike.sogou.com/lemma/ShowInnerLink.htm?lemmaId=622114" TargetMode="External"/><Relationship Id="rId2" Type="http://schemas.openxmlformats.org/officeDocument/2006/relationships/customXml" Target="../customXml/item2.xml"/><Relationship Id="rId16" Type="http://schemas.openxmlformats.org/officeDocument/2006/relationships/hyperlink" Target="https://baike.sogou.com/lemma/ShowInnerLink.htm?lemmaId=75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sogou.com/lemma/ShowInnerLink.htm?lemmaId=68917449&amp;ss_c=ssc.citiao.link" TargetMode="External"/><Relationship Id="rId5" Type="http://schemas.openxmlformats.org/officeDocument/2006/relationships/settings" Target="settings.xml"/><Relationship Id="rId15" Type="http://schemas.openxmlformats.org/officeDocument/2006/relationships/hyperlink" Target="https://baike.sogou.com/lemma/ShowInnerLink.htm?lemmaId=71724673&amp;ss_c=ssc.citiao.link" TargetMode="External"/><Relationship Id="rId10" Type="http://schemas.openxmlformats.org/officeDocument/2006/relationships/hyperlink" Target="https://baike.sogou.com/lemma/ShowInnerLink.htm?lemmaId=658250"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aike.sogou.com/lemma/ShowInnerLink.htm?lemmaId=62916445&amp;ss_c=ssc.citiao.link" TargetMode="External"/><Relationship Id="rId14" Type="http://schemas.openxmlformats.org/officeDocument/2006/relationships/hyperlink" Target="https://baike.sogou.com/lemma/ShowInnerLink.htm?lemmaId=63778877&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36EF3-9E30-4445-921D-4405459E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576</Words>
  <Characters>3285</Characters>
  <Application>Microsoft Office Word</Application>
  <DocSecurity>0</DocSecurity>
  <Lines>27</Lines>
  <Paragraphs>7</Paragraphs>
  <ScaleCrop>false</ScaleCrop>
  <Company>CHINA</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4</cp:revision>
  <dcterms:created xsi:type="dcterms:W3CDTF">2019-05-31T02:40:00Z</dcterms:created>
  <dcterms:modified xsi:type="dcterms:W3CDTF">2019-05-31T02:54:00Z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